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7E30752" w:rsidR="00FA0248" w:rsidRPr="004F581A" w:rsidRDefault="004F581A" w:rsidP="0091793B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91793B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ADB1F4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54BCB15A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F825FE" w:rsidRPr="00F825FE">
        <w:rPr>
          <w:b/>
          <w:bCs/>
          <w:i/>
          <w:iCs/>
          <w:sz w:val="22"/>
          <w:szCs w:val="22"/>
        </w:rPr>
        <w:t>2</w:t>
      </w:r>
      <w:r w:rsidR="0091793B" w:rsidRPr="0091793B">
        <w:rPr>
          <w:b/>
          <w:bCs/>
          <w:i/>
          <w:iCs/>
          <w:sz w:val="22"/>
          <w:szCs w:val="22"/>
        </w:rPr>
        <w:t xml:space="preserve"> 0</w:t>
      </w:r>
      <w:r w:rsidRPr="00B228EA">
        <w:rPr>
          <w:b/>
          <w:bCs/>
          <w:i/>
          <w:iCs/>
          <w:sz w:val="22"/>
          <w:szCs w:val="22"/>
        </w:rPr>
        <w:t>00 (</w:t>
      </w:r>
      <w:r w:rsidR="00F825FE" w:rsidRPr="00F825FE">
        <w:rPr>
          <w:b/>
          <w:bCs/>
          <w:i/>
          <w:iCs/>
          <w:sz w:val="22"/>
          <w:szCs w:val="22"/>
        </w:rPr>
        <w:t>Две</w:t>
      </w:r>
      <w:r w:rsidR="0091793B" w:rsidRPr="0091793B">
        <w:rPr>
          <w:b/>
          <w:bCs/>
          <w:i/>
          <w:iCs/>
          <w:sz w:val="22"/>
          <w:szCs w:val="22"/>
        </w:rPr>
        <w:t xml:space="preserve"> тысяч</w:t>
      </w:r>
      <w:r w:rsidR="00F825FE" w:rsidRPr="00F825FE">
        <w:rPr>
          <w:b/>
          <w:bCs/>
          <w:i/>
          <w:iCs/>
          <w:sz w:val="22"/>
          <w:szCs w:val="22"/>
        </w:rPr>
        <w:t>и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1608E78B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1793B" w:rsidRPr="0091793B"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F825FE" w:rsidRPr="00F825FE">
        <w:rPr>
          <w:b/>
          <w:bCs/>
          <w:i/>
          <w:iCs/>
          <w:sz w:val="22"/>
          <w:szCs w:val="22"/>
        </w:rPr>
        <w:t>5</w:t>
      </w:r>
      <w:r w:rsidRPr="00FF4BA3">
        <w:rPr>
          <w:b/>
          <w:bCs/>
          <w:i/>
          <w:iCs/>
          <w:sz w:val="22"/>
          <w:szCs w:val="22"/>
        </w:rPr>
        <w:t>00 (</w:t>
      </w:r>
      <w:r w:rsidR="0091793B" w:rsidRPr="0091793B">
        <w:rPr>
          <w:b/>
          <w:bCs/>
          <w:i/>
          <w:iCs/>
          <w:sz w:val="22"/>
          <w:szCs w:val="22"/>
        </w:rPr>
        <w:t>Две тысячи</w:t>
      </w:r>
      <w:r w:rsidR="00F825FE" w:rsidRPr="00F825FE">
        <w:rPr>
          <w:b/>
          <w:bCs/>
          <w:i/>
          <w:iCs/>
          <w:sz w:val="22"/>
          <w:szCs w:val="22"/>
        </w:rPr>
        <w:t xml:space="preserve"> пятьсот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E7FB" w14:textId="77777777" w:rsidR="00487647" w:rsidRDefault="00487647" w:rsidP="0053664B">
      <w:pPr>
        <w:spacing w:after="0" w:line="240" w:lineRule="auto"/>
      </w:pPr>
      <w:r>
        <w:separator/>
      </w:r>
    </w:p>
  </w:endnote>
  <w:endnote w:type="continuationSeparator" w:id="0">
    <w:p w14:paraId="7068BD90" w14:textId="77777777" w:rsidR="00487647" w:rsidRDefault="0048764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9D371F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523B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2A104" w14:textId="77777777" w:rsidR="00487647" w:rsidRDefault="00487647" w:rsidP="0053664B">
      <w:pPr>
        <w:spacing w:after="0" w:line="240" w:lineRule="auto"/>
      </w:pPr>
      <w:r>
        <w:separator/>
      </w:r>
    </w:p>
  </w:footnote>
  <w:footnote w:type="continuationSeparator" w:id="0">
    <w:p w14:paraId="49BED43D" w14:textId="77777777" w:rsidR="00487647" w:rsidRDefault="0048764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5974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87647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23B0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1CF4028-A8FA-468C-9559-03E5B2A2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2C47-A1F3-4463-BDFD-DA3A17DE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2021-03-25T08:49:00Z</dcterms:created>
  <dcterms:modified xsi:type="dcterms:W3CDTF">2021-03-25T08:49:00Z</dcterms:modified>
</cp:coreProperties>
</file>